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9A031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C603971" w:rsidR="004B553E" w:rsidRPr="002D07CE" w:rsidRDefault="002D07C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07CE">
              <w:rPr>
                <w:rFonts w:ascii="Merriweather" w:hAnsi="Merriweather" w:cs="Times New Roman"/>
                <w:sz w:val="18"/>
                <w:szCs w:val="18"/>
              </w:rPr>
              <w:t>Odjel za anglistiku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AC7947A" w:rsidR="004B553E" w:rsidRPr="002D07CE" w:rsidRDefault="002D07C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D07CE">
              <w:rPr>
                <w:rFonts w:ascii="Merriweather" w:hAnsi="Merriweather" w:cs="Times New Roman"/>
                <w:sz w:val="18"/>
                <w:szCs w:val="18"/>
              </w:rPr>
              <w:t>Suvremeni engleski jezik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43359FD" w:rsidR="004B553E" w:rsidRPr="002D07CE" w:rsidRDefault="002D07C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D07CE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FCAB827" w:rsidR="004B553E" w:rsidRPr="002D07CE" w:rsidRDefault="00B86AB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Prijediplomski studij a</w:t>
            </w:r>
            <w:r w:rsidR="002D07CE" w:rsidRPr="002D07CE">
              <w:rPr>
                <w:rFonts w:ascii="Merriweather" w:hAnsi="Merriweather" w:cs="Times New Roman"/>
                <w:sz w:val="18"/>
                <w:szCs w:val="18"/>
              </w:rPr>
              <w:t>nglistik</w:t>
            </w:r>
            <w:r>
              <w:rPr>
                <w:rFonts w:ascii="Merriweather" w:hAnsi="Merriweather" w:cs="Times New Roman"/>
                <w:sz w:val="18"/>
                <w:szCs w:val="18"/>
              </w:rPr>
              <w:t>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C0542D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07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2D07C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639644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07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EB7829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07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D7FB440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2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44F597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07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2F3F47C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07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0A31ADE8" w:rsidR="00453362" w:rsidRPr="0017531F" w:rsidRDefault="002D07C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6E31EA0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07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183A100" w:rsidR="00453362" w:rsidRPr="0017531F" w:rsidRDefault="002D07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D07CE">
              <w:rPr>
                <w:rFonts w:ascii="Merriweather" w:hAnsi="Merriweather" w:cs="Times New Roman"/>
                <w:sz w:val="16"/>
                <w:szCs w:val="16"/>
              </w:rPr>
              <w:t>Stari kampus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8DA12A6" w:rsidR="00453362" w:rsidRPr="0017531F" w:rsidRDefault="002D07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D07CE">
              <w:rPr>
                <w:rFonts w:ascii="Merriweather" w:hAnsi="Merriweather" w:cs="Times New Roman"/>
                <w:sz w:val="16"/>
                <w:szCs w:val="16"/>
              </w:rPr>
              <w:t>engleski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6E3B337" w:rsidR="00453362" w:rsidRPr="0017531F" w:rsidRDefault="00243E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02.10.2024.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10E2482" w:rsidR="00453362" w:rsidRPr="0017531F" w:rsidRDefault="00243E1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24.01.2025.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4D34CE5" w:rsidR="00453362" w:rsidRPr="0017531F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Upisan prijediplomski studij anglistike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8E46A27" w:rsidR="00453362" w:rsidRPr="0017531F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Cathy-Theresa Kolega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C7239D1" w:rsidR="00453362" w:rsidRPr="0017531F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ckolega@unizd.hr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9F420A5" w:rsidR="00453362" w:rsidRPr="0017531F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četvrtak 11-12 i po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168E5B8" w:rsidR="00453362" w:rsidRPr="0017531F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Cathy-Theresa Kolega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783276F" w:rsidR="00453362" w:rsidRPr="0017531F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ckolega@unizd.hr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05B72AF0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2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17816729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F54D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35D765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2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555C05A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B24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9004603" w14:textId="77777777" w:rsidR="00310F9A" w:rsidRDefault="007B24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Po završetku kolegija student će moći:</w:t>
            </w:r>
          </w:p>
          <w:p w14:paraId="18790F86" w14:textId="77777777" w:rsidR="007B24B9" w:rsidRP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komunicirati u raznovrsnim društvenim situacijama (razina C2),</w:t>
            </w:r>
          </w:p>
          <w:p w14:paraId="77555288" w14:textId="77777777" w:rsidR="007B24B9" w:rsidRP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 xml:space="preserve">diskutirati na zadane teme, </w:t>
            </w:r>
          </w:p>
          <w:p w14:paraId="1F4C16DB" w14:textId="77777777" w:rsidR="007B24B9" w:rsidRP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s razumijevanjem čitati i slušati autentične tekstove,</w:t>
            </w:r>
          </w:p>
          <w:p w14:paraId="45159551" w14:textId="77777777" w:rsidR="007B24B9" w:rsidRP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 xml:space="preserve">pisati jasne i povezane odlomke te pravilno parafrazirati odlomke akademskih tekstova, </w:t>
            </w:r>
          </w:p>
          <w:p w14:paraId="680E2262" w14:textId="77777777" w:rsidR="007B24B9" w:rsidRP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koristiti napredni vokabular (idiomi, frazni glagoli, kolokacije),</w:t>
            </w:r>
          </w:p>
          <w:p w14:paraId="014A0144" w14:textId="77777777" w:rsidR="007B24B9" w:rsidRP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prepoznavati i koristiti složene gramatičke strukture,</w:t>
            </w:r>
          </w:p>
          <w:p w14:paraId="0F1F4441" w14:textId="77777777" w:rsidR="007B24B9" w:rsidRP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koristiti stručnu terminologiju da bi govorio o jeziku,</w:t>
            </w:r>
          </w:p>
          <w:p w14:paraId="3D8A2E15" w14:textId="26391F1D" w:rsid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 xml:space="preserve">prevoditi jednostavne i složene rečenice, </w:t>
            </w:r>
          </w:p>
          <w:p w14:paraId="13E2A08B" w14:textId="7DC24C6B" w:rsidR="007B24B9" w:rsidRPr="007B24B9" w:rsidRDefault="007B24B9" w:rsidP="007B24B9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B24B9">
              <w:rPr>
                <w:rFonts w:ascii="Merriweather" w:hAnsi="Merriweather" w:cs="Times New Roman"/>
                <w:sz w:val="16"/>
                <w:szCs w:val="16"/>
              </w:rPr>
              <w:t>razumjeti kulturni i društveni život anglofonih zemalja.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35A2758" w14:textId="77777777" w:rsidR="007B24B9" w:rsidRPr="00F469E4" w:rsidRDefault="007B24B9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pt-BR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</w:rPr>
              <w:t>prepoznati i opisati relevantne ideje i koncepte,</w:t>
            </w:r>
          </w:p>
          <w:p w14:paraId="64A43D59" w14:textId="77777777" w:rsidR="007B24B9" w:rsidRPr="00F469E4" w:rsidRDefault="007B24B9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  <w:lang w:val="pt-BR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  <w:lang w:val="pt-BR"/>
              </w:rPr>
              <w:t>primijeniti kritičan i samokritičan pristup u argumentaciji,</w:t>
            </w:r>
          </w:p>
          <w:p w14:paraId="0BD26C35" w14:textId="77777777" w:rsidR="007B24B9" w:rsidRPr="00F469E4" w:rsidRDefault="007B24B9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</w:rPr>
              <w:t>primijeniti etička načela u samostalnom i grupnom rješavanju problema i provođenju istraživanja,</w:t>
            </w:r>
          </w:p>
          <w:p w14:paraId="228DDDCF" w14:textId="170D6F7F" w:rsidR="007B24B9" w:rsidRPr="00F469E4" w:rsidRDefault="007B24B9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</w:rPr>
              <w:t>čitati, pisati, slušati i govoriti engleski jezik na C2 razini – mogućnost primjene složenih gramatičkih struktura engleskoga jezika u usmenoj i pismenoj komunikaciji te kritička prosudba i rasprava o različitim temama s upotrebom naprednog vokabulara engleskoga jezika,</w:t>
            </w:r>
          </w:p>
          <w:p w14:paraId="12CA2F78" w14:textId="40057585" w:rsidR="00310F9A" w:rsidRPr="00F469E4" w:rsidRDefault="00F469E4" w:rsidP="00F469E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F469E4">
              <w:rPr>
                <w:rFonts w:ascii="Merriweather" w:hAnsi="Merriweather" w:cs="Times New Roman"/>
                <w:sz w:val="16"/>
                <w:szCs w:val="16"/>
              </w:rPr>
              <w:lastRenderedPageBreak/>
              <w:t>prevoditi tekst i govor s engleskoga jezika na hrvatski i obrnuto uz uvažavanje kulturnog konteksta.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1EB7A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9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B05F58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9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9E417D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9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2661B026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9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2ABA02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9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561151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9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0975BC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9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935F9A5" w:rsidR="00FC2198" w:rsidRPr="0017531F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469E4">
              <w:rPr>
                <w:rFonts w:ascii="Merriweather" w:eastAsia="MS Gothic" w:hAnsi="Merriweather" w:cs="Times New Roman"/>
                <w:sz w:val="16"/>
                <w:szCs w:val="16"/>
              </w:rPr>
              <w:t>Nazočnost na predavanjima treba biti najmanje 70%. Studenti trebaju pravovremeno dolaziti na vježbe, izvršavati zadatke i sudjelovati u radu. Studenti koji ne polože kolokvije, dužni su pristupiti polaganju istih u okviru završnog pismenog ispita u zimskom ispitnom roku. Za prolaznu ocjenu iz završnog pismenog ispita student treba položiti sva tri dijela ispita.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okviru završnog pismenog ispita. Nakon što polože završni pismeni ispit, studenti trebaju položiti završni usmeni ispit. Ukoliko student ne položi završni usmeni ispit u zimskom ispitnom roku, treba ponovno pristupiti polaganju završnog pismenog ispita u jesenskom ispitnom roku.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CF1AF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3E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6C4CA4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3E1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F18D8CE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FC58E5" w:rsidRPr="00EB3EF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FC58E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05270074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E342431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FC58E5" w:rsidRPr="00EB3EFE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https://anglistika.unizd.hr/ispitni-rokovi</w:t>
              </w:r>
            </w:hyperlink>
            <w:r w:rsidR="00FC58E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2CDA00D" w:rsidR="00FC2198" w:rsidRPr="0017531F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69E4">
              <w:rPr>
                <w:rFonts w:ascii="Merriweather" w:eastAsia="MS Gothic" w:hAnsi="Merriweather" w:cs="Times New Roman"/>
                <w:sz w:val="16"/>
                <w:szCs w:val="16"/>
              </w:rPr>
              <w:t>Na kolegiju se radi na razvijanju jezičnih vještina studenata na jezičnoj razini C1. Sukladno tome, studenti razvijaju govorne vještine potrebne u interaktivnoj komunikaciji te se upoznaju s kulturnim normama govora i ponašanja anglofonih zemalja. Također, studenti se osposobljavaju za opisivanje i izražavanje osobnih stavova prema vizualnim uzorcima te za diskusiju na zadane teme i probleme. Studente se potiče da izražavaju svoje mišljenje i razvijaju kritičko razmišljanje. Nadalje, teži se postizanju visokih standarda vještina čitanja i akademskog pisanja. Obogaćuje se vokabular čitanjem različitih tekstova i dolazi se do spoznaja o raznim vidovima kulturnog i društvenog života anglofonih zemalja. Obogaćivanje vokabulara također uključuje proučavanje idioma, fraznih glagola i kolokacija s ciljem napredovanja ka boljoj pisanoj i govornoj komunikaciji. Smještanjem gramatičkih struktura u kompleksnu cjelinu gramatičkog sustava postupno se razvija gramatička kompetencija i studenti dobivaju uvid u funkcioniranje engleskoga jezika. Studenti restrukturiraju svoje znanje rješavanjem težih vježbi i prijevoda. Pojačano se radi na savladavanju osnovnih gramatičkih struktura i njihovoj sistematizaciji i klasifikaciji u jednom općem pregledu. Također, razvijaju se strategije učenja i osposobljavanje za samostalan rad.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C0D59DD" w14:textId="3298F174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1.  Introduction to the course</w:t>
            </w:r>
          </w:p>
          <w:p w14:paraId="673D373E" w14:textId="7BA98D26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Speaking: introduction (finding out about your partner)</w:t>
            </w:r>
          </w:p>
          <w:p w14:paraId="327D3C10" w14:textId="17DA4F2F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Dictation (practice)</w:t>
            </w:r>
          </w:p>
          <w:p w14:paraId="0975F2EE" w14:textId="0ABA47AA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Writing: Punctuation and spelling</w:t>
            </w:r>
          </w:p>
          <w:p w14:paraId="0CF54205" w14:textId="776864F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Grammar: Word classes and phrases</w:t>
            </w:r>
          </w:p>
          <w:p w14:paraId="37F27E14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CDB8AF2" w14:textId="53960BD0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2. Reading: multiple choice</w:t>
            </w:r>
          </w:p>
          <w:p w14:paraId="3D6E6345" w14:textId="2963929C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Vocabulary: figurative language; idioms (Time is Money) </w:t>
            </w:r>
          </w:p>
          <w:p w14:paraId="4EE3238F" w14:textId="686D3EE9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Academic writing style</w:t>
            </w:r>
          </w:p>
          <w:p w14:paraId="7AD80873" w14:textId="7C115FF2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      Process writing</w:t>
            </w:r>
          </w:p>
          <w:p w14:paraId="4CC92C5F" w14:textId="50FAC6FA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Grammar: Sentence types and discourse functions </w:t>
            </w:r>
          </w:p>
          <w:p w14:paraId="5CB81772" w14:textId="4C32F733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The simple sentence: clause elements and clause patterns</w:t>
            </w:r>
          </w:p>
          <w:p w14:paraId="1D684F93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</w:t>
            </w:r>
          </w:p>
          <w:p w14:paraId="45C1881A" w14:textId="2ED16952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3. Reading: Saki, Tea (short story)</w:t>
            </w:r>
          </w:p>
          <w:p w14:paraId="2C8F3526" w14:textId="3738931D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Speaking: discussion </w:t>
            </w:r>
          </w:p>
          <w:p w14:paraId="6F94CFF6" w14:textId="278FDF4B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Vocabulary: idioms (Business is War); expressions with space and room; multiple-choice cloze</w:t>
            </w:r>
          </w:p>
          <w:p w14:paraId="3AFAFD8A" w14:textId="78953A15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Listening: multiple matching</w:t>
            </w:r>
          </w:p>
          <w:p w14:paraId="49DD63A2" w14:textId="6A99DEEF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Dictation (practice)</w:t>
            </w:r>
          </w:p>
          <w:p w14:paraId="4D442926" w14:textId="6FEA9955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Identifying main ideas </w:t>
            </w:r>
          </w:p>
          <w:p w14:paraId="4AEB74D7" w14:textId="2CB2FC10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Grammar: The simple sentence: clause elements and clause patterns (cont.)</w:t>
            </w:r>
          </w:p>
          <w:p w14:paraId="45EE345F" w14:textId="37C4F259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Verbs: valency patterns</w:t>
            </w:r>
          </w:p>
          <w:p w14:paraId="5E5BF94D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977E22E" w14:textId="13A14B91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4. Speaking: giving opinions</w:t>
            </w:r>
          </w:p>
          <w:p w14:paraId="572CC511" w14:textId="707F5AE2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    Vocabulary: word formation; communication collocations and adjectives</w:t>
            </w:r>
          </w:p>
          <w:p w14:paraId="6B910C84" w14:textId="57DF4B66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Listening: multiple choice</w:t>
            </w:r>
          </w:p>
          <w:p w14:paraId="369A2102" w14:textId="757E3E90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Reading: gapped text</w:t>
            </w:r>
          </w:p>
          <w:p w14:paraId="51F129B5" w14:textId="308DE223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Academic writing: Formal nouns, verbs and adjectives </w:t>
            </w:r>
          </w:p>
          <w:p w14:paraId="2BD9F8BF" w14:textId="6EEC823B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Grammar: Verbs: morphological categories</w:t>
            </w:r>
          </w:p>
          <w:p w14:paraId="642871C1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EA0E60E" w14:textId="627C4272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Reading: newspaper articles </w:t>
            </w:r>
          </w:p>
          <w:p w14:paraId="7DA6AB55" w14:textId="60C3C472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discussion</w:t>
            </w:r>
          </w:p>
          <w:p w14:paraId="7E07CCA4" w14:textId="67AC2558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idioms (Seeing is Understanding)</w:t>
            </w:r>
          </w:p>
          <w:p w14:paraId="0C42BE05" w14:textId="6272714E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778084D4" w14:textId="6FF01D27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Identifying the topic and the main idea in the paragraph</w:t>
            </w:r>
          </w:p>
          <w:p w14:paraId="1874B001" w14:textId="1EB21255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</w:t>
            </w:r>
            <w:r w:rsidR="002B0D2D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What is a paragraph?</w:t>
            </w:r>
          </w:p>
          <w:p w14:paraId="4F90DAEC" w14:textId="2E6DC939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</w:t>
            </w:r>
            <w:r w:rsidR="002B0D2D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Other elements of a paragraph </w:t>
            </w:r>
          </w:p>
          <w:p w14:paraId="032B714C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Grammar:  The present simple and continuous</w:t>
            </w:r>
          </w:p>
          <w:p w14:paraId="34A610C1" w14:textId="44CD5BC2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Action and state verbs </w:t>
            </w:r>
          </w:p>
          <w:p w14:paraId="15460955" w14:textId="77777777" w:rsidR="002B0D2D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DD9308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C5E7F5D" w14:textId="5901745C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6.</w:t>
            </w:r>
            <w:r w:rsidR="002B0D2D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multiple matching</w:t>
            </w:r>
          </w:p>
          <w:p w14:paraId="2048C404" w14:textId="28B164D5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collaborative task and discussion</w:t>
            </w:r>
          </w:p>
          <w:p w14:paraId="22948DE5" w14:textId="551F068F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idioms (Life is a Journey); multiple-choice cloze</w:t>
            </w:r>
          </w:p>
          <w:p w14:paraId="381445C3" w14:textId="4A4D9487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Listening: multiple choice</w:t>
            </w:r>
          </w:p>
          <w:p w14:paraId="7CC50CD3" w14:textId="28ED645E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Restating main ideas</w:t>
            </w:r>
          </w:p>
          <w:p w14:paraId="2E89E354" w14:textId="48A88D67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Grammar: The past simple and continuous</w:t>
            </w:r>
          </w:p>
          <w:p w14:paraId="7AE2DDE9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C683006" w14:textId="6A9871AC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7.</w:t>
            </w:r>
            <w:r w:rsidR="002B0D2D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Frank Sargeson, They Gave her a Rise (short story)</w:t>
            </w:r>
          </w:p>
          <w:p w14:paraId="74074419" w14:textId="43F675BD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discussion</w:t>
            </w:r>
          </w:p>
          <w:p w14:paraId="55CC5EE7" w14:textId="0F2647A8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1C61AC72" w14:textId="0B030188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Academic writing: Cohesion </w:t>
            </w:r>
          </w:p>
          <w:p w14:paraId="6A2153CC" w14:textId="65E0EE61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Grammar: The past simple vs. the present perfect</w:t>
            </w:r>
          </w:p>
          <w:p w14:paraId="1B98B6C4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</w:p>
          <w:p w14:paraId="4CA84822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TEST 1 (dictation)</w:t>
            </w:r>
          </w:p>
          <w:p w14:paraId="6EE40C67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DBCB345" w14:textId="24927F9A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8.</w:t>
            </w:r>
            <w:r w:rsidR="002B0D2D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multiple choice</w:t>
            </w:r>
          </w:p>
          <w:p w14:paraId="0B362E9E" w14:textId="5333E91D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collaborative task</w:t>
            </w:r>
          </w:p>
          <w:p w14:paraId="38A720FE" w14:textId="740C22D5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verb/noun collocations; key word transformations</w:t>
            </w:r>
          </w:p>
          <w:p w14:paraId="7EA96F96" w14:textId="4FF2D494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Logical order</w:t>
            </w:r>
          </w:p>
          <w:p w14:paraId="452AB9FD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 Development of supporting sentences</w:t>
            </w:r>
          </w:p>
          <w:p w14:paraId="132DF95A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The present perfect simple and continuous </w:t>
            </w:r>
          </w:p>
          <w:p w14:paraId="65C3AE63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F05EAC0" w14:textId="6405549B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9.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newspaper articles</w:t>
            </w:r>
          </w:p>
          <w:p w14:paraId="410B98F9" w14:textId="68CBBE50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Speaking: discussion </w:t>
            </w:r>
          </w:p>
          <w:p w14:paraId="74F85E66" w14:textId="2B07157A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idioms (Life is Gambling)</w:t>
            </w:r>
          </w:p>
          <w:p w14:paraId="774A5601" w14:textId="0B6B066D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79D25461" w14:textId="66C99BB0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Academic writing: Paraphrasing – Restating main ideas </w:t>
            </w:r>
          </w:p>
          <w:p w14:paraId="14FBFC5C" w14:textId="6AE92EF8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The past perfect simple and continuous </w:t>
            </w:r>
          </w:p>
          <w:p w14:paraId="220D1749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B431865" w14:textId="58A414D6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10.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multiple matching</w:t>
            </w:r>
          </w:p>
          <w:p w14:paraId="080BC279" w14:textId="02E47B7E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speculating</w:t>
            </w:r>
          </w:p>
          <w:p w14:paraId="46303F19" w14:textId="2CF4C462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Listening: multiple-choice</w:t>
            </w:r>
          </w:p>
          <w:p w14:paraId="43F18330" w14:textId="26C0EAEC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prefix mis- and false opposites; open cloze</w:t>
            </w:r>
          </w:p>
          <w:p w14:paraId="2342B1DD" w14:textId="57EC0853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Compound sentences</w:t>
            </w:r>
          </w:p>
          <w:p w14:paraId="50AE3490" w14:textId="0265409A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The future </w:t>
            </w:r>
          </w:p>
          <w:p w14:paraId="46236AE1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7C80929" w14:textId="2A56D589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Somerset Maugham, The Colonel's Lady (short story)</w:t>
            </w:r>
          </w:p>
          <w:p w14:paraId="3014586A" w14:textId="55BCACF5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discussion</w:t>
            </w:r>
          </w:p>
          <w:p w14:paraId="1790B147" w14:textId="321BFBB4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idioms (A Company is a Ship)</w:t>
            </w:r>
          </w:p>
          <w:p w14:paraId="24EDB14F" w14:textId="3802A10D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4DB7E63C" w14:textId="76396C61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Types of paragraphs</w:t>
            </w:r>
          </w:p>
          <w:p w14:paraId="23087107" w14:textId="4536ECB4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            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Introduction to paraphrasing</w:t>
            </w:r>
          </w:p>
          <w:p w14:paraId="15E4DC3B" w14:textId="4E650895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Grammar: The future (cont.)</w:t>
            </w:r>
          </w:p>
          <w:p w14:paraId="07E1903D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3672E9A" w14:textId="4F4F5552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12.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Listening: multiple choice</w:t>
            </w:r>
          </w:p>
          <w:p w14:paraId="5873BDDC" w14:textId="64F9884B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word formation</w:t>
            </w:r>
          </w:p>
          <w:p w14:paraId="6B477AC2" w14:textId="58D0A91B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comparing</w:t>
            </w:r>
          </w:p>
          <w:p w14:paraId="303D5C83" w14:textId="6BB99E4A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Paraphrasing main ideas</w:t>
            </w:r>
          </w:p>
          <w:p w14:paraId="3D12E721" w14:textId="157C81AF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Tenses (revision) </w:t>
            </w:r>
          </w:p>
          <w:p w14:paraId="1939B927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680D0AD" w14:textId="4C86B68B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13.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multiple choice</w:t>
            </w:r>
          </w:p>
          <w:p w14:paraId="26D26FF0" w14:textId="1895B119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Vocabulary: prefixes and suffixes</w:t>
            </w:r>
          </w:p>
          <w:p w14:paraId="721D2406" w14:textId="753C6125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62FBF237" w14:textId="217BBFAD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Academic writing: Complex sentences</w:t>
            </w:r>
          </w:p>
          <w:p w14:paraId="76880184" w14:textId="7B40E7F9" w:rsidR="00F469E4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Modal verbs </w:t>
            </w:r>
          </w:p>
          <w:p w14:paraId="0410349F" w14:textId="77777777" w:rsidR="002B0D2D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AAF277A" w14:textId="54DE27B6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14.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Reading: Raymond Carver, The Bath (short story)</w:t>
            </w:r>
          </w:p>
          <w:p w14:paraId="0C8A5D59" w14:textId="2B229F4F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Speaking: discussion</w:t>
            </w:r>
          </w:p>
          <w:p w14:paraId="332BD3A2" w14:textId="03714EBF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Vocabulary: idioms (Moods are Weather) </w:t>
            </w:r>
          </w:p>
          <w:p w14:paraId="3362BF73" w14:textId="54EA32E6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Grammar: Modal verbs (cont.) </w:t>
            </w:r>
          </w:p>
          <w:p w14:paraId="6E577132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</w:t>
            </w:r>
          </w:p>
          <w:p w14:paraId="2B9E83E0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b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TEST 2 (academic writing)</w:t>
            </w:r>
          </w:p>
          <w:p w14:paraId="7B35F3D3" w14:textId="77777777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FD7E27B" w14:textId="61ECC58F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15.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Dictation (practice)</w:t>
            </w:r>
          </w:p>
          <w:p w14:paraId="78187A32" w14:textId="75DEFBFF" w:rsidR="00F469E4" w:rsidRPr="002B0D2D" w:rsidRDefault="002B0D2D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</w:t>
            </w:r>
            <w:r w:rsidR="00F469E4" w:rsidRPr="002B0D2D">
              <w:rPr>
                <w:rFonts w:ascii="Merriweather" w:eastAsia="MS Gothic" w:hAnsi="Merriweather" w:cs="Times New Roman"/>
                <w:sz w:val="16"/>
                <w:szCs w:val="16"/>
              </w:rPr>
              <w:t>Grammar: Negative statements</w:t>
            </w:r>
          </w:p>
          <w:p w14:paraId="5E14D77C" w14:textId="47BE4C11" w:rsidR="00F469E4" w:rsidRPr="002B0D2D" w:rsidRDefault="00F469E4" w:rsidP="00F469E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Questions</w:t>
            </w:r>
          </w:p>
          <w:p w14:paraId="6E3A408E" w14:textId="69DF09F6" w:rsidR="00FC2198" w:rsidRPr="002B0D2D" w:rsidRDefault="00F469E4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        </w:t>
            </w:r>
            <w:r w:rsid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</w:t>
            </w: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Revision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89DE5C9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Thomas A., Burgess, S. (2015). Gold Advanced. Harlow: Pearson. (Units 1- 6)</w:t>
            </w:r>
          </w:p>
          <w:p w14:paraId="6C85274F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Eastwood, J. (2005). Oxford Learner's Grammar: Grammar Finder. Oxford: Oxford University Press. </w:t>
            </w:r>
          </w:p>
          <w:p w14:paraId="4B41F2FE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Eastwood, J. (2005). Oxford Learner's Grammar: Grammar Builder. Oxford: Oxford University Press. </w:t>
            </w:r>
          </w:p>
          <w:p w14:paraId="3C13C654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Swan, M. (2005). A Practical English Usage. Oxford: Oxford University Press.</w:t>
            </w:r>
          </w:p>
          <w:p w14:paraId="0B89B5BE" w14:textId="5DAC4600" w:rsidR="00FC2198" w:rsidRPr="0017531F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Martinović, A., Lovrović, L. (2020). An Introduction to Academic Writing. Zadar: Sveučilište u Zadru.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CA26906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Wright, J. (1999). Idioms Organiser. Boston: LTP Language.</w:t>
            </w:r>
          </w:p>
          <w:p w14:paraId="4DA3D296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Biber, D., Conrad, S., Leech, G. (2015). Student Grammar of Spoken and Written English. Harlow: Pearson.</w:t>
            </w:r>
          </w:p>
          <w:p w14:paraId="20D2A24E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Biber, D., Conrad, S., Leech, G. (2015). Student Grammar of Spoken and Written English: Workbook. Harlow: Pearson.</w:t>
            </w:r>
          </w:p>
          <w:p w14:paraId="4BA94DB2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De Chazal, E., Rogers, L. (2013). Oxford EAP - A course in English for Academic Purposes (Intermediate). Oxford: Oxford University Press.</w:t>
            </w:r>
          </w:p>
          <w:p w14:paraId="39168AD1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Jordan, R. R. (2004). Academic Writing Course. Essex: Pearson Education Limited.</w:t>
            </w:r>
          </w:p>
          <w:p w14:paraId="30D85602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Oshima, A., Hogue, A. (2006). Introduction to Academic Writing (3rd ed.). London: Pearson Longman.</w:t>
            </w:r>
          </w:p>
          <w:p w14:paraId="76685BA5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Bailey, S. (2015). Academic Writing: A Handbook for International Students. London and New York: Routledge.</w:t>
            </w:r>
          </w:p>
          <w:p w14:paraId="1C90CFBD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Paterson, K., Wedge, R. (2013). Oxford Grammar for EAP. Oxford: Oxford University Press.</w:t>
            </w:r>
          </w:p>
          <w:p w14:paraId="7A7E56CE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Thomson, A.J., Martinet, A.V. (1993). A Practical English Grammar. Oxford: Oxford University Press. </w:t>
            </w:r>
          </w:p>
          <w:p w14:paraId="5BD5122C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Karlovčan, V. (2002). An Advanced Learner's English Grammar. Zagreb: Profil International.</w:t>
            </w:r>
          </w:p>
          <w:p w14:paraId="63D07860" w14:textId="18270D36" w:rsidR="00FC2198" w:rsidRPr="0017531F" w:rsidRDefault="002B0D2D" w:rsidP="002B0D2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Dodatni nastavni materijali po izboru nastavnika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0B71D0F" w:rsidR="00FC2198" w:rsidRPr="0017531F" w:rsidRDefault="002B0D2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Po izboru nastavnika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613222D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0D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15AF6003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B0D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6CB40B6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Konačna ocjena iz završnog pismenog ispita:</w:t>
            </w:r>
          </w:p>
          <w:p w14:paraId="3E7E321A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70%  - test iz  razumijevanja teksta, vokabulara, gramatike i prijevoda,</w:t>
            </w:r>
          </w:p>
          <w:p w14:paraId="0A54DAD4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20% - akademsko pisanje,</w:t>
            </w:r>
          </w:p>
          <w:p w14:paraId="745BA026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10% - diktat.</w:t>
            </w:r>
          </w:p>
          <w:p w14:paraId="7A1BC74A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6B95AE5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Završni pismeni ispit: 70%</w:t>
            </w:r>
          </w:p>
          <w:p w14:paraId="5FE0C427" w14:textId="77777777" w:rsidR="002B0D2D" w:rsidRPr="002B0D2D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Završni usmeni ispit: 20% </w:t>
            </w:r>
          </w:p>
          <w:p w14:paraId="646F7F3F" w14:textId="4CD1F884" w:rsidR="00FC2198" w:rsidRPr="0017531F" w:rsidRDefault="002B0D2D" w:rsidP="002B0D2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0D2D">
              <w:rPr>
                <w:rFonts w:ascii="Merriweather" w:eastAsia="MS Gothic" w:hAnsi="Merriweather" w:cs="Times New Roman"/>
                <w:sz w:val="16"/>
                <w:szCs w:val="16"/>
              </w:rPr>
              <w:t>Domaće zadaće i sudjelovanje u nastavi: 10%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BF5D9D1" w:rsidR="00FC2198" w:rsidRPr="0017531F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B0D2D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244EAEDC" w:rsidR="00FC2198" w:rsidRPr="0017531F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B0D2D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331230A1" w:rsidR="00FC2198" w:rsidRPr="0017531F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B0D2D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49E73A5" w:rsidR="00FC2198" w:rsidRPr="0017531F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B0D2D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535981D" w:rsidR="00FC2198" w:rsidRPr="0017531F" w:rsidRDefault="002B0D2D" w:rsidP="0071443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B0D2D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E46F" w14:textId="77777777" w:rsidR="00654B0C" w:rsidRDefault="00654B0C" w:rsidP="009947BA">
      <w:pPr>
        <w:spacing w:before="0" w:after="0"/>
      </w:pPr>
      <w:r>
        <w:separator/>
      </w:r>
    </w:p>
  </w:endnote>
  <w:endnote w:type="continuationSeparator" w:id="0">
    <w:p w14:paraId="536025E0" w14:textId="77777777" w:rsidR="00654B0C" w:rsidRDefault="00654B0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DA93" w14:textId="77777777" w:rsidR="00654B0C" w:rsidRDefault="00654B0C" w:rsidP="009947BA">
      <w:pPr>
        <w:spacing w:before="0" w:after="0"/>
      </w:pPr>
      <w:r>
        <w:separator/>
      </w:r>
    </w:p>
  </w:footnote>
  <w:footnote w:type="continuationSeparator" w:id="0">
    <w:p w14:paraId="3466C934" w14:textId="77777777" w:rsidR="00654B0C" w:rsidRDefault="00654B0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39A5"/>
    <w:multiLevelType w:val="hybridMultilevel"/>
    <w:tmpl w:val="5AF26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763"/>
    <w:multiLevelType w:val="hybridMultilevel"/>
    <w:tmpl w:val="73EA6812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24329">
    <w:abstractNumId w:val="2"/>
  </w:num>
  <w:num w:numId="2" w16cid:durableId="282276585">
    <w:abstractNumId w:val="1"/>
  </w:num>
  <w:num w:numId="3" w16cid:durableId="1413889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3E12"/>
    <w:rsid w:val="0028545A"/>
    <w:rsid w:val="002B0D2D"/>
    <w:rsid w:val="002B5C87"/>
    <w:rsid w:val="002D07CE"/>
    <w:rsid w:val="002E1CE6"/>
    <w:rsid w:val="002F2D22"/>
    <w:rsid w:val="00310F9A"/>
    <w:rsid w:val="00326091"/>
    <w:rsid w:val="00357643"/>
    <w:rsid w:val="00371634"/>
    <w:rsid w:val="00386E9C"/>
    <w:rsid w:val="00393964"/>
    <w:rsid w:val="003D33A5"/>
    <w:rsid w:val="003D7529"/>
    <w:rsid w:val="003F11B6"/>
    <w:rsid w:val="003F17B8"/>
    <w:rsid w:val="004138FF"/>
    <w:rsid w:val="00422A86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54B0C"/>
    <w:rsid w:val="00684BBC"/>
    <w:rsid w:val="006B4920"/>
    <w:rsid w:val="00700D7A"/>
    <w:rsid w:val="00714436"/>
    <w:rsid w:val="00721260"/>
    <w:rsid w:val="007361E7"/>
    <w:rsid w:val="007368EB"/>
    <w:rsid w:val="0078125F"/>
    <w:rsid w:val="00794496"/>
    <w:rsid w:val="007967CC"/>
    <w:rsid w:val="0079745E"/>
    <w:rsid w:val="00797B40"/>
    <w:rsid w:val="007B24B9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F0865"/>
    <w:rsid w:val="0090214F"/>
    <w:rsid w:val="009163E6"/>
    <w:rsid w:val="009760E8"/>
    <w:rsid w:val="00993A23"/>
    <w:rsid w:val="009947BA"/>
    <w:rsid w:val="00997F41"/>
    <w:rsid w:val="009A031D"/>
    <w:rsid w:val="009A3A9D"/>
    <w:rsid w:val="009C56B1"/>
    <w:rsid w:val="009D5226"/>
    <w:rsid w:val="009E2FD4"/>
    <w:rsid w:val="00A06750"/>
    <w:rsid w:val="00A9132B"/>
    <w:rsid w:val="00AA1A5A"/>
    <w:rsid w:val="00AC0D51"/>
    <w:rsid w:val="00AD23FB"/>
    <w:rsid w:val="00B71A57"/>
    <w:rsid w:val="00B7307A"/>
    <w:rsid w:val="00B86ABB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DF54DC"/>
    <w:rsid w:val="00E00328"/>
    <w:rsid w:val="00E06E39"/>
    <w:rsid w:val="00E07D73"/>
    <w:rsid w:val="00E151B0"/>
    <w:rsid w:val="00E17D18"/>
    <w:rsid w:val="00E30E67"/>
    <w:rsid w:val="00EB5A72"/>
    <w:rsid w:val="00F02A8F"/>
    <w:rsid w:val="00F22855"/>
    <w:rsid w:val="00F469E4"/>
    <w:rsid w:val="00F513E0"/>
    <w:rsid w:val="00F566DA"/>
    <w:rsid w:val="00F82834"/>
    <w:rsid w:val="00F84F5E"/>
    <w:rsid w:val="00FC2198"/>
    <w:rsid w:val="00FC283E"/>
    <w:rsid w:val="00FC58E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C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nglistika.unizd.hr/ispitni-rokov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glistika.unizd.hr/ispitni-roko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949D1-E506-4E72-ACDD-9ECCF5D2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Zlatko Bukač</cp:lastModifiedBy>
  <cp:revision>7</cp:revision>
  <cp:lastPrinted>2021-02-12T11:27:00Z</cp:lastPrinted>
  <dcterms:created xsi:type="dcterms:W3CDTF">2024-09-03T09:32:00Z</dcterms:created>
  <dcterms:modified xsi:type="dcterms:W3CDTF">2024-09-27T14:10:00Z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